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A8" w:rsidRDefault="00A90FA8">
      <w:pPr>
        <w:pStyle w:val="Titolo3"/>
      </w:pPr>
      <w:r>
        <w:t xml:space="preserve">CLASSIFICAZIONE DEI LIVELLI DI CONOSCENZA DELLE LINGUE </w:t>
      </w:r>
    </w:p>
    <w:p w:rsidR="00A90FA8" w:rsidRDefault="00A90FA8">
      <w:pPr>
        <w:pStyle w:val="Titolo3"/>
        <w:rPr>
          <w:b w:val="0"/>
          <w:bCs w:val="0"/>
          <w:color w:val="auto"/>
        </w:rPr>
      </w:pPr>
    </w:p>
    <w:p w:rsidR="00A90FA8" w:rsidRDefault="00A90FA8">
      <w:pPr>
        <w:pStyle w:val="Titolo3"/>
        <w:rPr>
          <w:b w:val="0"/>
          <w:bCs w:val="0"/>
          <w:color w:val="auto"/>
        </w:rPr>
      </w:pPr>
      <w:r>
        <w:rPr>
          <w:b w:val="0"/>
          <w:bCs w:val="0"/>
          <w:color w:val="auto"/>
        </w:rPr>
        <w:t>in base al QUADRO DI RIFERIMENTO EUROPEO A CURA DEL CONSIGLIO D’EUROPA</w:t>
      </w:r>
    </w:p>
    <w:p w:rsidR="00A90FA8" w:rsidRDefault="00A90FA8">
      <w:pPr>
        <w:rPr>
          <w:rFonts w:ascii="Verdana" w:hAnsi="Verdana"/>
          <w:sz w:val="20"/>
        </w:rPr>
      </w:pPr>
    </w:p>
    <w:p w:rsidR="00A90FA8" w:rsidRDefault="00A90FA8">
      <w:pPr>
        <w:rPr>
          <w:rFonts w:ascii="Verdana" w:hAnsi="Verdana"/>
          <w:sz w:val="20"/>
        </w:rPr>
      </w:pPr>
      <w:r>
        <w:rPr>
          <w:rFonts w:ascii="Verdana" w:hAnsi="Verdana"/>
          <w:sz w:val="20"/>
        </w:rPr>
        <w:t xml:space="preserve">Il Quadro Europeo di Riferimento ha stabilito i canoni generali per la conoscenza delle lingue comunitarie, suddividendoli in tre livelli :  </w:t>
      </w:r>
    </w:p>
    <w:p w:rsidR="00A90FA8" w:rsidRDefault="00A90FA8">
      <w:pPr>
        <w:rPr>
          <w:rFonts w:ascii="Verdana" w:hAnsi="Verdana"/>
          <w:sz w:val="20"/>
        </w:rPr>
      </w:pPr>
      <w:r>
        <w:rPr>
          <w:rFonts w:ascii="Verdana" w:hAnsi="Verdana"/>
          <w:sz w:val="20"/>
        </w:rPr>
        <w:t>BASE A1, A2</w:t>
      </w:r>
    </w:p>
    <w:p w:rsidR="00A90FA8" w:rsidRDefault="00A90FA8">
      <w:pPr>
        <w:rPr>
          <w:rFonts w:ascii="Verdana" w:hAnsi="Verdana"/>
          <w:sz w:val="20"/>
        </w:rPr>
      </w:pPr>
      <w:r>
        <w:rPr>
          <w:rFonts w:ascii="Verdana" w:hAnsi="Verdana"/>
          <w:sz w:val="20"/>
        </w:rPr>
        <w:t>AUTONOMO B1, B2</w:t>
      </w:r>
    </w:p>
    <w:p w:rsidR="00A90FA8" w:rsidRDefault="00A90FA8">
      <w:pPr>
        <w:rPr>
          <w:rFonts w:ascii="Verdana" w:hAnsi="Verdana"/>
          <w:sz w:val="20"/>
        </w:rPr>
      </w:pPr>
      <w:r>
        <w:rPr>
          <w:rFonts w:ascii="Verdana" w:hAnsi="Verdana"/>
          <w:sz w:val="20"/>
        </w:rPr>
        <w:t xml:space="preserve">PADRONANZA C1, C2 </w:t>
      </w:r>
    </w:p>
    <w:p w:rsidR="00A90FA8" w:rsidRDefault="00A90FA8">
      <w:pPr>
        <w:rPr>
          <w:rFonts w:ascii="Verdana" w:hAnsi="Verdana"/>
          <w:sz w:val="20"/>
        </w:rPr>
      </w:pPr>
    </w:p>
    <w:p w:rsidR="00A90FA8" w:rsidRDefault="00A90FA8">
      <w:pPr>
        <w:rPr>
          <w:rFonts w:ascii="Verdana" w:hAnsi="Verdana"/>
          <w:sz w:val="20"/>
        </w:rPr>
      </w:pPr>
    </w:p>
    <w:p w:rsidR="00A90FA8" w:rsidRDefault="00A90FA8">
      <w:r>
        <w:rPr>
          <w:rFonts w:ascii="Verdana" w:hAnsi="Verdana"/>
          <w:sz w:val="20"/>
        </w:rPr>
        <w:t>Rappresentazione globale dei livelli di riferimento</w:t>
      </w:r>
    </w:p>
    <w:p w:rsidR="00A90FA8" w:rsidRDefault="00A90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0"/>
        <w:gridCol w:w="1616"/>
        <w:gridCol w:w="364"/>
        <w:gridCol w:w="7034"/>
      </w:tblGrid>
      <w:tr w:rsidR="00A90FA8">
        <w:tblPrEx>
          <w:tblCellMar>
            <w:top w:w="0" w:type="dxa"/>
            <w:bottom w:w="0" w:type="dxa"/>
          </w:tblCellMar>
        </w:tblPrEx>
        <w:tc>
          <w:tcPr>
            <w:tcW w:w="1330" w:type="dxa"/>
            <w:tcBorders>
              <w:bottom w:val="nil"/>
              <w:right w:val="nil"/>
            </w:tcBorders>
            <w:shd w:val="clear" w:color="auto" w:fill="CCECFF"/>
          </w:tcPr>
          <w:p w:rsidR="00A90FA8" w:rsidRDefault="00A90FA8">
            <w:pPr>
              <w:rPr>
                <w:rFonts w:ascii="Verdana" w:hAnsi="Verdana"/>
                <w:b/>
                <w:bCs/>
                <w:sz w:val="15"/>
              </w:rPr>
            </w:pPr>
          </w:p>
          <w:p w:rsidR="00A90FA8" w:rsidRDefault="00A90FA8">
            <w:pPr>
              <w:rPr>
                <w:b/>
                <w:bCs/>
                <w:sz w:val="15"/>
              </w:rPr>
            </w:pPr>
            <w:r>
              <w:rPr>
                <w:rFonts w:ascii="Verdana" w:hAnsi="Verdana"/>
                <w:b/>
                <w:bCs/>
                <w:sz w:val="15"/>
              </w:rPr>
              <w:t>Livello Base</w:t>
            </w:r>
          </w:p>
        </w:tc>
        <w:tc>
          <w:tcPr>
            <w:tcW w:w="1616" w:type="dxa"/>
            <w:tcBorders>
              <w:left w:val="nil"/>
            </w:tcBorders>
            <w:shd w:val="clear" w:color="auto" w:fill="CCECFF"/>
          </w:tcPr>
          <w:p w:rsidR="00A90FA8" w:rsidRDefault="00A90FA8">
            <w:pPr>
              <w:pStyle w:val="Titolo1"/>
            </w:pPr>
          </w:p>
          <w:p w:rsidR="00A90FA8" w:rsidRDefault="00A90FA8">
            <w:pPr>
              <w:pStyle w:val="Titolo1"/>
            </w:pPr>
            <w:r>
              <w:t>Elementare</w:t>
            </w:r>
          </w:p>
        </w:tc>
        <w:tc>
          <w:tcPr>
            <w:tcW w:w="364" w:type="dxa"/>
            <w:shd w:val="clear" w:color="auto" w:fill="CCECFF"/>
          </w:tcPr>
          <w:p w:rsidR="00A90FA8" w:rsidRDefault="00A90FA8">
            <w:pPr>
              <w:rPr>
                <w:rFonts w:ascii="Verdana" w:hAnsi="Verdana"/>
                <w:b/>
                <w:bCs/>
                <w:sz w:val="15"/>
              </w:rPr>
            </w:pPr>
          </w:p>
          <w:p w:rsidR="00A90FA8" w:rsidRDefault="00A90FA8">
            <w:pPr>
              <w:rPr>
                <w:b/>
                <w:bCs/>
                <w:sz w:val="15"/>
              </w:rPr>
            </w:pPr>
            <w:r>
              <w:rPr>
                <w:rFonts w:ascii="Verdana" w:hAnsi="Verdana"/>
                <w:b/>
                <w:bCs/>
                <w:sz w:val="15"/>
              </w:rPr>
              <w:t>A1</w:t>
            </w:r>
          </w:p>
        </w:tc>
        <w:tc>
          <w:tcPr>
            <w:tcW w:w="7034" w:type="dxa"/>
            <w:shd w:val="clear" w:color="auto" w:fill="CCECFF"/>
          </w:tcPr>
          <w:p w:rsidR="00A90FA8" w:rsidRDefault="00A90FA8">
            <w:pPr>
              <w:ind w:left="290" w:right="304"/>
              <w:rPr>
                <w:rFonts w:ascii="Verdana" w:hAnsi="Verdana"/>
                <w:sz w:val="15"/>
              </w:rPr>
            </w:pPr>
          </w:p>
          <w:p w:rsidR="00A90FA8" w:rsidRDefault="00A90FA8">
            <w:pPr>
              <w:ind w:left="290" w:right="304"/>
              <w:rPr>
                <w:rFonts w:ascii="Verdana" w:hAnsi="Verdana"/>
                <w:sz w:val="15"/>
              </w:rPr>
            </w:pPr>
            <w:r>
              <w:rPr>
                <w:rFonts w:ascii="Verdana" w:hAnsi="Verdana"/>
                <w:sz w:val="15"/>
              </w:rPr>
              <w:t>Comprende e usa espressioni di uso quotidiano e frasi basilari tese a soddisfare bisogni di tipo concreto. Sa presentare se stesso/a e gli altri ed è in grado di fare domande e rispondere su particolari personali come dove abita, le persone che conosce e le cose che possiede. Interagisce in modo semplice purché l’altra persona parli lentamente e chiaramente e sia disposta a collaborare.</w:t>
            </w:r>
          </w:p>
          <w:p w:rsidR="00A90FA8" w:rsidRDefault="00A90FA8">
            <w:pPr>
              <w:ind w:left="290" w:right="304"/>
              <w:rPr>
                <w:sz w:val="15"/>
              </w:rPr>
            </w:pPr>
          </w:p>
        </w:tc>
      </w:tr>
      <w:tr w:rsidR="00A90FA8">
        <w:tblPrEx>
          <w:tblCellMar>
            <w:top w:w="0" w:type="dxa"/>
            <w:bottom w:w="0" w:type="dxa"/>
          </w:tblCellMar>
        </w:tblPrEx>
        <w:tc>
          <w:tcPr>
            <w:tcW w:w="1330" w:type="dxa"/>
            <w:tcBorders>
              <w:top w:val="nil"/>
              <w:bottom w:val="single" w:sz="4" w:space="0" w:color="auto"/>
              <w:right w:val="nil"/>
            </w:tcBorders>
            <w:shd w:val="clear" w:color="auto" w:fill="CCECFF"/>
          </w:tcPr>
          <w:p w:rsidR="00A90FA8" w:rsidRDefault="00A90FA8">
            <w:pPr>
              <w:rPr>
                <w:b/>
                <w:bCs/>
                <w:sz w:val="15"/>
              </w:rPr>
            </w:pPr>
          </w:p>
        </w:tc>
        <w:tc>
          <w:tcPr>
            <w:tcW w:w="1616" w:type="dxa"/>
            <w:tcBorders>
              <w:left w:val="nil"/>
              <w:bottom w:val="single" w:sz="4" w:space="0" w:color="auto"/>
            </w:tcBorders>
            <w:shd w:val="clear" w:color="auto" w:fill="CCECFF"/>
          </w:tcPr>
          <w:p w:rsidR="00A90FA8" w:rsidRDefault="00A90FA8">
            <w:pPr>
              <w:rPr>
                <w:rFonts w:ascii="Verdana" w:hAnsi="Verdana"/>
                <w:b/>
                <w:bCs/>
                <w:sz w:val="15"/>
              </w:rPr>
            </w:pPr>
          </w:p>
          <w:p w:rsidR="00A90FA8" w:rsidRDefault="00A90FA8">
            <w:pPr>
              <w:rPr>
                <w:b/>
                <w:bCs/>
                <w:sz w:val="15"/>
              </w:rPr>
            </w:pPr>
            <w:proofErr w:type="spellStart"/>
            <w:r>
              <w:rPr>
                <w:rFonts w:ascii="Verdana" w:hAnsi="Verdana"/>
                <w:b/>
                <w:bCs/>
                <w:sz w:val="15"/>
              </w:rPr>
              <w:t>Pre-Interemedio</w:t>
            </w:r>
            <w:proofErr w:type="spellEnd"/>
          </w:p>
        </w:tc>
        <w:tc>
          <w:tcPr>
            <w:tcW w:w="364" w:type="dxa"/>
            <w:tcBorders>
              <w:bottom w:val="single" w:sz="4" w:space="0" w:color="auto"/>
            </w:tcBorders>
            <w:shd w:val="clear" w:color="auto" w:fill="CCECFF"/>
          </w:tcPr>
          <w:p w:rsidR="00A90FA8" w:rsidRDefault="00A90FA8">
            <w:pPr>
              <w:rPr>
                <w:rFonts w:ascii="Verdana" w:hAnsi="Verdana"/>
                <w:b/>
                <w:bCs/>
                <w:sz w:val="15"/>
              </w:rPr>
            </w:pPr>
          </w:p>
          <w:p w:rsidR="00A90FA8" w:rsidRDefault="00A90FA8">
            <w:pPr>
              <w:rPr>
                <w:b/>
                <w:bCs/>
                <w:sz w:val="15"/>
              </w:rPr>
            </w:pPr>
            <w:r>
              <w:rPr>
                <w:rFonts w:ascii="Verdana" w:hAnsi="Verdana"/>
                <w:b/>
                <w:bCs/>
                <w:sz w:val="15"/>
              </w:rPr>
              <w:t>A2</w:t>
            </w:r>
          </w:p>
        </w:tc>
        <w:tc>
          <w:tcPr>
            <w:tcW w:w="7034" w:type="dxa"/>
            <w:tcBorders>
              <w:bottom w:val="single" w:sz="4" w:space="0" w:color="auto"/>
            </w:tcBorders>
            <w:shd w:val="clear" w:color="auto" w:fill="CCECFF"/>
          </w:tcPr>
          <w:p w:rsidR="00A90FA8" w:rsidRDefault="00A90FA8">
            <w:pPr>
              <w:ind w:left="290" w:right="304"/>
              <w:rPr>
                <w:rFonts w:ascii="Verdana" w:hAnsi="Verdana"/>
                <w:sz w:val="15"/>
              </w:rPr>
            </w:pPr>
          </w:p>
          <w:p w:rsidR="00A90FA8" w:rsidRDefault="00A90FA8">
            <w:pPr>
              <w:ind w:left="290" w:right="304"/>
              <w:rPr>
                <w:rFonts w:ascii="Verdana" w:hAnsi="Verdana"/>
                <w:sz w:val="15"/>
              </w:rPr>
            </w:pPr>
            <w:r>
              <w:rPr>
                <w:rFonts w:ascii="Verdana" w:hAnsi="Verdana"/>
                <w:sz w:val="15"/>
              </w:rPr>
              <w:t>Comprende frasi ed espressioni usate frequentemente relative ad ambiti di immediata rilevanza (Es. informazioni personali e familiari di base, fare la spesa, la geografia locale, l’occupazione). Comunica in attività semplici e di routine che richiedono un semplice scambio di informazioni su argomenti familiari e comuni. Sa descrivere in termini semplici aspetti del suo background, dell’ambiente circostante sa esprimere bisogni immediati.</w:t>
            </w:r>
          </w:p>
          <w:p w:rsidR="00A90FA8" w:rsidRDefault="00A90FA8">
            <w:pPr>
              <w:ind w:left="290" w:right="304"/>
              <w:rPr>
                <w:sz w:val="15"/>
              </w:rPr>
            </w:pPr>
          </w:p>
        </w:tc>
      </w:tr>
      <w:tr w:rsidR="00A90FA8">
        <w:tblPrEx>
          <w:tblCellMar>
            <w:top w:w="0" w:type="dxa"/>
            <w:bottom w:w="0" w:type="dxa"/>
          </w:tblCellMar>
        </w:tblPrEx>
        <w:tc>
          <w:tcPr>
            <w:tcW w:w="1330" w:type="dxa"/>
            <w:tcBorders>
              <w:bottom w:val="nil"/>
              <w:right w:val="nil"/>
            </w:tcBorders>
            <w:shd w:val="clear" w:color="auto" w:fill="99CCFF"/>
          </w:tcPr>
          <w:p w:rsidR="00A90FA8" w:rsidRDefault="00A90FA8">
            <w:pPr>
              <w:rPr>
                <w:rFonts w:ascii="Verdana" w:hAnsi="Verdana"/>
                <w:b/>
                <w:bCs/>
                <w:sz w:val="15"/>
              </w:rPr>
            </w:pPr>
          </w:p>
          <w:p w:rsidR="00A90FA8" w:rsidRDefault="00A90FA8">
            <w:pPr>
              <w:rPr>
                <w:rFonts w:ascii="Verdana" w:hAnsi="Verdana"/>
                <w:b/>
                <w:bCs/>
                <w:sz w:val="15"/>
              </w:rPr>
            </w:pPr>
            <w:r>
              <w:rPr>
                <w:rFonts w:ascii="Verdana" w:hAnsi="Verdana"/>
                <w:b/>
                <w:bCs/>
                <w:sz w:val="15"/>
              </w:rPr>
              <w:t>Livello Autonomo</w:t>
            </w:r>
          </w:p>
        </w:tc>
        <w:tc>
          <w:tcPr>
            <w:tcW w:w="1616" w:type="dxa"/>
            <w:tcBorders>
              <w:left w:val="nil"/>
            </w:tcBorders>
            <w:shd w:val="clear" w:color="auto" w:fill="99CCFF"/>
          </w:tcPr>
          <w:p w:rsidR="00A90FA8" w:rsidRDefault="00A90FA8">
            <w:pPr>
              <w:rPr>
                <w:rFonts w:ascii="Verdana" w:hAnsi="Verdana"/>
                <w:b/>
                <w:bCs/>
                <w:sz w:val="15"/>
              </w:rPr>
            </w:pPr>
          </w:p>
          <w:p w:rsidR="00A90FA8" w:rsidRDefault="00A90FA8">
            <w:pPr>
              <w:rPr>
                <w:rFonts w:ascii="Verdana" w:hAnsi="Verdana"/>
                <w:b/>
                <w:bCs/>
                <w:sz w:val="15"/>
              </w:rPr>
            </w:pPr>
            <w:r>
              <w:rPr>
                <w:rFonts w:ascii="Verdana" w:hAnsi="Verdana"/>
                <w:b/>
                <w:bCs/>
                <w:sz w:val="15"/>
              </w:rPr>
              <w:t>Intermedio</w:t>
            </w:r>
          </w:p>
        </w:tc>
        <w:tc>
          <w:tcPr>
            <w:tcW w:w="364" w:type="dxa"/>
            <w:shd w:val="clear" w:color="auto" w:fill="99CCFF"/>
          </w:tcPr>
          <w:p w:rsidR="00A90FA8" w:rsidRDefault="00A90FA8">
            <w:pPr>
              <w:rPr>
                <w:rFonts w:ascii="Verdana" w:hAnsi="Verdana"/>
                <w:b/>
                <w:bCs/>
                <w:sz w:val="15"/>
              </w:rPr>
            </w:pPr>
          </w:p>
          <w:p w:rsidR="00A90FA8" w:rsidRDefault="00A90FA8">
            <w:pPr>
              <w:rPr>
                <w:rFonts w:ascii="Verdana" w:hAnsi="Verdana"/>
                <w:b/>
                <w:bCs/>
                <w:sz w:val="15"/>
              </w:rPr>
            </w:pPr>
            <w:r>
              <w:rPr>
                <w:rFonts w:ascii="Verdana" w:hAnsi="Verdana"/>
                <w:b/>
                <w:bCs/>
                <w:sz w:val="15"/>
              </w:rPr>
              <w:t>B1</w:t>
            </w:r>
          </w:p>
        </w:tc>
        <w:tc>
          <w:tcPr>
            <w:tcW w:w="7034" w:type="dxa"/>
            <w:shd w:val="clear" w:color="auto" w:fill="99CCFF"/>
          </w:tcPr>
          <w:p w:rsidR="00A90FA8" w:rsidRDefault="00A90FA8">
            <w:pPr>
              <w:ind w:left="290" w:right="304"/>
              <w:rPr>
                <w:rFonts w:ascii="Verdana" w:hAnsi="Verdana"/>
                <w:sz w:val="15"/>
              </w:rPr>
            </w:pPr>
          </w:p>
          <w:p w:rsidR="00A90FA8" w:rsidRDefault="00A90FA8">
            <w:pPr>
              <w:ind w:left="290" w:right="304"/>
              <w:rPr>
                <w:rFonts w:ascii="Verdana" w:hAnsi="Verdana"/>
                <w:sz w:val="15"/>
              </w:rPr>
            </w:pPr>
            <w:r>
              <w:rPr>
                <w:rFonts w:ascii="Verdana" w:hAnsi="Verdana"/>
                <w:sz w:val="15"/>
              </w:rPr>
              <w:t>Comprende i punti chiave di argomenti familiari che riguardano la scuola, il tempo libero ecc. Sa muoversi con disinvoltura in situazioni che possono verificarsi mentre viaggia nel paese in cui si parla la lingua. E’ in grado di produrre un testo semplice relativo ad argomenti che siano familiari o di interesse personale. E’ in grado di descrivere esperienze ed avvenimenti, sogni, speranze e ambizioni e spiegare brevemente le ragioni delle sue opinioni e dei suoi progetti.</w:t>
            </w:r>
          </w:p>
          <w:p w:rsidR="00A90FA8" w:rsidRDefault="00A90FA8">
            <w:pPr>
              <w:ind w:left="290" w:right="304"/>
              <w:rPr>
                <w:rFonts w:ascii="Verdana" w:hAnsi="Verdana"/>
                <w:sz w:val="15"/>
              </w:rPr>
            </w:pPr>
          </w:p>
        </w:tc>
      </w:tr>
      <w:tr w:rsidR="00A90FA8">
        <w:tblPrEx>
          <w:tblCellMar>
            <w:top w:w="0" w:type="dxa"/>
            <w:bottom w:w="0" w:type="dxa"/>
          </w:tblCellMar>
        </w:tblPrEx>
        <w:tc>
          <w:tcPr>
            <w:tcW w:w="1330" w:type="dxa"/>
            <w:tcBorders>
              <w:top w:val="nil"/>
              <w:bottom w:val="single" w:sz="4" w:space="0" w:color="auto"/>
              <w:right w:val="nil"/>
            </w:tcBorders>
            <w:shd w:val="clear" w:color="auto" w:fill="99CCFF"/>
          </w:tcPr>
          <w:p w:rsidR="00A90FA8" w:rsidRDefault="00A90FA8">
            <w:pPr>
              <w:rPr>
                <w:rFonts w:ascii="Verdana" w:hAnsi="Verdana"/>
                <w:b/>
                <w:bCs/>
                <w:sz w:val="15"/>
              </w:rPr>
            </w:pPr>
          </w:p>
        </w:tc>
        <w:tc>
          <w:tcPr>
            <w:tcW w:w="1616" w:type="dxa"/>
            <w:tcBorders>
              <w:left w:val="nil"/>
              <w:bottom w:val="single" w:sz="4" w:space="0" w:color="auto"/>
            </w:tcBorders>
            <w:shd w:val="clear" w:color="auto" w:fill="99CCFF"/>
          </w:tcPr>
          <w:p w:rsidR="00A90FA8" w:rsidRDefault="00A90FA8">
            <w:pPr>
              <w:rPr>
                <w:rFonts w:ascii="Verdana" w:hAnsi="Verdana"/>
                <w:b/>
                <w:bCs/>
                <w:sz w:val="15"/>
              </w:rPr>
            </w:pPr>
          </w:p>
          <w:p w:rsidR="00A90FA8" w:rsidRDefault="00A90FA8">
            <w:pPr>
              <w:rPr>
                <w:rFonts w:ascii="Verdana" w:hAnsi="Verdana"/>
                <w:b/>
                <w:bCs/>
                <w:sz w:val="15"/>
              </w:rPr>
            </w:pPr>
            <w:proofErr w:type="spellStart"/>
            <w:r>
              <w:rPr>
                <w:rFonts w:ascii="Verdana" w:hAnsi="Verdana"/>
                <w:b/>
                <w:bCs/>
                <w:sz w:val="15"/>
              </w:rPr>
              <w:t>Intermedio-alto</w:t>
            </w:r>
            <w:proofErr w:type="spellEnd"/>
          </w:p>
        </w:tc>
        <w:tc>
          <w:tcPr>
            <w:tcW w:w="364" w:type="dxa"/>
            <w:tcBorders>
              <w:bottom w:val="single" w:sz="4" w:space="0" w:color="auto"/>
            </w:tcBorders>
            <w:shd w:val="clear" w:color="auto" w:fill="99CCFF"/>
          </w:tcPr>
          <w:p w:rsidR="00A90FA8" w:rsidRDefault="00A90FA8">
            <w:pPr>
              <w:rPr>
                <w:rFonts w:ascii="Verdana" w:hAnsi="Verdana"/>
                <w:b/>
                <w:bCs/>
                <w:sz w:val="15"/>
              </w:rPr>
            </w:pPr>
          </w:p>
          <w:p w:rsidR="00A90FA8" w:rsidRDefault="00A90FA8">
            <w:pPr>
              <w:rPr>
                <w:rFonts w:ascii="Verdana" w:hAnsi="Verdana"/>
                <w:b/>
                <w:bCs/>
                <w:sz w:val="15"/>
              </w:rPr>
            </w:pPr>
            <w:r>
              <w:rPr>
                <w:rFonts w:ascii="Verdana" w:hAnsi="Verdana"/>
                <w:b/>
                <w:bCs/>
                <w:sz w:val="15"/>
              </w:rPr>
              <w:t>B2</w:t>
            </w:r>
          </w:p>
        </w:tc>
        <w:tc>
          <w:tcPr>
            <w:tcW w:w="7034" w:type="dxa"/>
            <w:tcBorders>
              <w:bottom w:val="single" w:sz="4" w:space="0" w:color="auto"/>
            </w:tcBorders>
            <w:shd w:val="clear" w:color="auto" w:fill="99CCFF"/>
          </w:tcPr>
          <w:p w:rsidR="00A90FA8" w:rsidRDefault="00A90FA8">
            <w:pPr>
              <w:ind w:left="290" w:right="304"/>
              <w:rPr>
                <w:rFonts w:ascii="Verdana" w:hAnsi="Verdana"/>
                <w:sz w:val="15"/>
              </w:rPr>
            </w:pPr>
          </w:p>
          <w:p w:rsidR="00A90FA8" w:rsidRDefault="00A90FA8">
            <w:pPr>
              <w:ind w:left="290" w:right="304"/>
              <w:rPr>
                <w:rFonts w:ascii="Verdana" w:hAnsi="Verdana"/>
                <w:sz w:val="15"/>
              </w:rPr>
            </w:pPr>
            <w:r>
              <w:rPr>
                <w:rFonts w:ascii="Verdana" w:hAnsi="Verdana"/>
                <w:sz w:val="15"/>
              </w:rPr>
              <w:t xml:space="preserve">Comprende le idee principali di testi complessi su argomenti sia concreti che astratti, comprese le discussioni tecniche nel suo campo di specializzazione. E’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 </w:t>
            </w:r>
          </w:p>
          <w:p w:rsidR="00A90FA8" w:rsidRDefault="00A90FA8">
            <w:pPr>
              <w:ind w:left="290" w:right="304"/>
              <w:rPr>
                <w:rFonts w:ascii="Verdana" w:hAnsi="Verdana"/>
                <w:sz w:val="15"/>
              </w:rPr>
            </w:pPr>
          </w:p>
        </w:tc>
      </w:tr>
      <w:tr w:rsidR="00A90FA8">
        <w:tblPrEx>
          <w:tblCellMar>
            <w:top w:w="0" w:type="dxa"/>
            <w:bottom w:w="0" w:type="dxa"/>
          </w:tblCellMar>
        </w:tblPrEx>
        <w:tc>
          <w:tcPr>
            <w:tcW w:w="1330" w:type="dxa"/>
            <w:tcBorders>
              <w:bottom w:val="nil"/>
              <w:right w:val="nil"/>
            </w:tcBorders>
            <w:shd w:val="clear" w:color="auto" w:fill="66CCFF"/>
          </w:tcPr>
          <w:p w:rsidR="00A90FA8" w:rsidRDefault="00A90FA8">
            <w:pPr>
              <w:rPr>
                <w:rFonts w:ascii="Verdana" w:hAnsi="Verdana"/>
                <w:b/>
                <w:bCs/>
                <w:sz w:val="15"/>
              </w:rPr>
            </w:pPr>
          </w:p>
          <w:p w:rsidR="00A90FA8" w:rsidRDefault="00A90FA8">
            <w:pPr>
              <w:rPr>
                <w:b/>
                <w:bCs/>
              </w:rPr>
            </w:pPr>
            <w:r>
              <w:rPr>
                <w:rFonts w:ascii="Verdana" w:hAnsi="Verdana"/>
                <w:b/>
                <w:bCs/>
                <w:sz w:val="15"/>
              </w:rPr>
              <w:t>Livello Padronanza</w:t>
            </w:r>
          </w:p>
        </w:tc>
        <w:tc>
          <w:tcPr>
            <w:tcW w:w="1616" w:type="dxa"/>
            <w:tcBorders>
              <w:left w:val="nil"/>
            </w:tcBorders>
            <w:shd w:val="clear" w:color="auto" w:fill="66CCFF"/>
          </w:tcPr>
          <w:p w:rsidR="00A90FA8" w:rsidRDefault="00A90FA8">
            <w:pPr>
              <w:pStyle w:val="Titolo1"/>
            </w:pPr>
          </w:p>
          <w:p w:rsidR="00A90FA8" w:rsidRDefault="00A90FA8">
            <w:pPr>
              <w:pStyle w:val="Titolo1"/>
            </w:pPr>
            <w:r>
              <w:t>Avanzato</w:t>
            </w:r>
          </w:p>
        </w:tc>
        <w:tc>
          <w:tcPr>
            <w:tcW w:w="364" w:type="dxa"/>
            <w:shd w:val="clear" w:color="auto" w:fill="66CCFF"/>
          </w:tcPr>
          <w:p w:rsidR="00A90FA8" w:rsidRDefault="00A90FA8">
            <w:pPr>
              <w:rPr>
                <w:rFonts w:ascii="Verdana" w:hAnsi="Verdana"/>
                <w:b/>
                <w:bCs/>
                <w:sz w:val="15"/>
              </w:rPr>
            </w:pPr>
          </w:p>
          <w:p w:rsidR="00A90FA8" w:rsidRDefault="00A90FA8">
            <w:pPr>
              <w:rPr>
                <w:b/>
                <w:bCs/>
              </w:rPr>
            </w:pPr>
            <w:r>
              <w:rPr>
                <w:rFonts w:ascii="Verdana" w:hAnsi="Verdana"/>
                <w:b/>
                <w:bCs/>
                <w:sz w:val="15"/>
              </w:rPr>
              <w:t>C1</w:t>
            </w:r>
          </w:p>
        </w:tc>
        <w:tc>
          <w:tcPr>
            <w:tcW w:w="7034" w:type="dxa"/>
            <w:shd w:val="clear" w:color="auto" w:fill="66CCFF"/>
          </w:tcPr>
          <w:p w:rsidR="00A90FA8" w:rsidRDefault="00A90FA8">
            <w:pPr>
              <w:ind w:left="290" w:right="304"/>
              <w:rPr>
                <w:rFonts w:ascii="Verdana" w:hAnsi="Verdana"/>
                <w:sz w:val="15"/>
              </w:rPr>
            </w:pPr>
          </w:p>
          <w:p w:rsidR="00A90FA8" w:rsidRDefault="00A90FA8">
            <w:pPr>
              <w:ind w:left="290" w:right="304"/>
              <w:rPr>
                <w:rFonts w:ascii="Verdana" w:hAnsi="Verdana"/>
                <w:sz w:val="15"/>
              </w:rPr>
            </w:pPr>
            <w:r>
              <w:rPr>
                <w:rFonts w:ascii="Verdana" w:hAnsi="Verdana"/>
                <w:sz w:val="15"/>
              </w:rPr>
              <w:t>Comprende un’ampia gamma di testi complessi e lunghi e ne sa riconoscere il significato implicito. Si esprime con scioltezza e naturalezza. Usa la lingua in modo flessibile ed efficace per scopi sociali, professionali e accademici. Riesce a produrre testi chiari, ben costruiti, dettagliati su argomenti complessi, mostrando un sicuro controllo della struttura testuale, dei connettori e degli elementi di coesione.</w:t>
            </w:r>
          </w:p>
          <w:p w:rsidR="00A90FA8" w:rsidRDefault="00A90FA8">
            <w:pPr>
              <w:ind w:left="290" w:right="304"/>
            </w:pPr>
          </w:p>
        </w:tc>
      </w:tr>
      <w:tr w:rsidR="00A90FA8">
        <w:tblPrEx>
          <w:tblCellMar>
            <w:top w:w="0" w:type="dxa"/>
            <w:bottom w:w="0" w:type="dxa"/>
          </w:tblCellMar>
        </w:tblPrEx>
        <w:tc>
          <w:tcPr>
            <w:tcW w:w="1330" w:type="dxa"/>
            <w:tcBorders>
              <w:top w:val="nil"/>
              <w:right w:val="nil"/>
            </w:tcBorders>
            <w:shd w:val="clear" w:color="auto" w:fill="66CCFF"/>
          </w:tcPr>
          <w:p w:rsidR="00A90FA8" w:rsidRDefault="00A90FA8">
            <w:pPr>
              <w:rPr>
                <w:b/>
                <w:bCs/>
              </w:rPr>
            </w:pPr>
          </w:p>
        </w:tc>
        <w:tc>
          <w:tcPr>
            <w:tcW w:w="1616" w:type="dxa"/>
            <w:tcBorders>
              <w:left w:val="nil"/>
            </w:tcBorders>
            <w:shd w:val="clear" w:color="auto" w:fill="66CCFF"/>
          </w:tcPr>
          <w:p w:rsidR="00A90FA8" w:rsidRDefault="00A90FA8">
            <w:pPr>
              <w:rPr>
                <w:rFonts w:ascii="Verdana" w:hAnsi="Verdana"/>
                <w:b/>
                <w:bCs/>
                <w:sz w:val="15"/>
              </w:rPr>
            </w:pPr>
          </w:p>
          <w:p w:rsidR="00A90FA8" w:rsidRDefault="00A90FA8">
            <w:pPr>
              <w:rPr>
                <w:b/>
                <w:bCs/>
              </w:rPr>
            </w:pPr>
            <w:r>
              <w:rPr>
                <w:rFonts w:ascii="Verdana" w:hAnsi="Verdana"/>
                <w:b/>
                <w:bCs/>
                <w:sz w:val="15"/>
              </w:rPr>
              <w:t>Completa padronanza</w:t>
            </w:r>
          </w:p>
        </w:tc>
        <w:tc>
          <w:tcPr>
            <w:tcW w:w="364" w:type="dxa"/>
            <w:shd w:val="clear" w:color="auto" w:fill="66CCFF"/>
          </w:tcPr>
          <w:p w:rsidR="00A90FA8" w:rsidRDefault="00A90FA8">
            <w:pPr>
              <w:rPr>
                <w:rFonts w:ascii="Verdana" w:hAnsi="Verdana"/>
                <w:b/>
                <w:bCs/>
                <w:sz w:val="15"/>
              </w:rPr>
            </w:pPr>
          </w:p>
          <w:p w:rsidR="00A90FA8" w:rsidRDefault="00A90FA8">
            <w:pPr>
              <w:rPr>
                <w:b/>
                <w:bCs/>
              </w:rPr>
            </w:pPr>
            <w:r>
              <w:rPr>
                <w:rFonts w:ascii="Verdana" w:hAnsi="Verdana"/>
                <w:b/>
                <w:bCs/>
                <w:sz w:val="15"/>
              </w:rPr>
              <w:t>C2</w:t>
            </w:r>
          </w:p>
        </w:tc>
        <w:tc>
          <w:tcPr>
            <w:tcW w:w="7034" w:type="dxa"/>
            <w:shd w:val="clear" w:color="auto" w:fill="66CCFF"/>
          </w:tcPr>
          <w:p w:rsidR="00A90FA8" w:rsidRDefault="00A90FA8">
            <w:pPr>
              <w:ind w:left="290" w:right="304"/>
              <w:rPr>
                <w:rFonts w:ascii="Verdana" w:hAnsi="Verdana"/>
                <w:sz w:val="15"/>
              </w:rPr>
            </w:pPr>
          </w:p>
          <w:p w:rsidR="00A90FA8" w:rsidRDefault="00A90FA8">
            <w:pPr>
              <w:ind w:left="290" w:right="304"/>
              <w:rPr>
                <w:rFonts w:ascii="Verdana" w:hAnsi="Verdana"/>
                <w:sz w:val="20"/>
              </w:rPr>
            </w:pPr>
            <w:r>
              <w:rPr>
                <w:rFonts w:ascii="Verdana" w:hAnsi="Verdana"/>
                <w:sz w:val="15"/>
              </w:rPr>
              <w:t>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w:t>
            </w:r>
          </w:p>
          <w:p w:rsidR="00A90FA8" w:rsidRDefault="00A90FA8">
            <w:pPr>
              <w:ind w:left="290" w:right="304"/>
            </w:pPr>
          </w:p>
        </w:tc>
      </w:tr>
    </w:tbl>
    <w:p w:rsidR="00A90FA8" w:rsidRDefault="00A90FA8"/>
    <w:sectPr w:rsidR="00A90FA8">
      <w:pgSz w:w="11906" w:h="16838"/>
      <w:pgMar w:top="1418"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compat/>
  <w:rsids>
    <w:rsidRoot w:val="00B56EBD"/>
    <w:rsid w:val="006D38D9"/>
    <w:rsid w:val="00A90FA8"/>
    <w:rsid w:val="00B56E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Verdana" w:hAnsi="Verdana"/>
      <w:b/>
      <w:bCs/>
      <w:sz w:val="15"/>
    </w:rPr>
  </w:style>
  <w:style w:type="paragraph" w:styleId="Titolo2">
    <w:name w:val="heading 2"/>
    <w:basedOn w:val="Normale"/>
    <w:next w:val="Normale"/>
    <w:qFormat/>
    <w:pPr>
      <w:keepNext/>
      <w:outlineLvl w:val="1"/>
    </w:pPr>
    <w:rPr>
      <w:rFonts w:eastAsia="Arial Unicode MS"/>
      <w:b/>
      <w:sz w:val="28"/>
      <w:lang w:val="en-GB"/>
    </w:rPr>
  </w:style>
  <w:style w:type="paragraph" w:styleId="Titolo3">
    <w:name w:val="heading 3"/>
    <w:basedOn w:val="Normale"/>
    <w:next w:val="Normale"/>
    <w:qFormat/>
    <w:pPr>
      <w:keepNext/>
      <w:outlineLvl w:val="2"/>
    </w:pPr>
    <w:rPr>
      <w:rFonts w:ascii="Verdana" w:hAnsi="Verdana"/>
      <w:b/>
      <w:bCs/>
      <w:color w:val="FF0000"/>
      <w:sz w:val="20"/>
    </w:rPr>
  </w:style>
  <w:style w:type="paragraph" w:styleId="Titolo4">
    <w:name w:val="heading 4"/>
    <w:basedOn w:val="Normale"/>
    <w:next w:val="Normale"/>
    <w:qFormat/>
    <w:pPr>
      <w:keepNext/>
      <w:spacing w:before="240" w:after="60"/>
      <w:outlineLvl w:val="3"/>
    </w:pPr>
    <w:rPr>
      <w:rFonts w:eastAsia="Arial Unicode MS"/>
      <w:b/>
      <w:sz w:val="28"/>
      <w:szCs w:val="28"/>
      <w:lang w:val="en-GB"/>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pPr>
      <w:spacing w:after="120"/>
    </w:pPr>
    <w:rPr>
      <w:lang w:val="en-GB"/>
    </w:rPr>
  </w:style>
  <w:style w:type="paragraph" w:customStyle="1" w:styleId="normalegiustificato">
    <w:name w:val="normale giustificato"/>
    <w:pPr>
      <w:widowControl w:val="0"/>
      <w:spacing w:before="120"/>
      <w:jc w:val="both"/>
    </w:pPr>
    <w:rPr>
      <w:sz w:val="24"/>
    </w:rPr>
  </w:style>
  <w:style w:type="paragraph" w:styleId="Corpodeltesto2">
    <w:name w:val="Body Text 2"/>
    <w:basedOn w:val="Normale"/>
    <w:semiHidden/>
    <w:rPr>
      <w:rFonts w:ascii="Verdana" w:hAnsi="Verdan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CLASSIFICAZIONE DEI LIVELLI DI CONOSCENZA DELLE LINGUE </vt:lpstr>
    </vt:vector>
  </TitlesOfParts>
  <Company>DI TRIESTE</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CLASSIFICAZIONE DEI LIVELLI DI CONOSCENZA DELLE LINGUE </dc:title>
  <dc:subject/>
  <dc:creator>SEVERI</dc:creator>
  <cp:keywords/>
  <dc:description/>
  <cp:lastModifiedBy>Federico</cp:lastModifiedBy>
  <cp:revision>2</cp:revision>
  <dcterms:created xsi:type="dcterms:W3CDTF">2013-01-14T14:40:00Z</dcterms:created>
  <dcterms:modified xsi:type="dcterms:W3CDTF">2013-01-14T14:40:00Z</dcterms:modified>
</cp:coreProperties>
</file>